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 w:cs="宋体"/>
          <w:b/>
          <w:color w:val="333333"/>
          <w:sz w:val="36"/>
          <w:szCs w:val="36"/>
        </w:rPr>
      </w:pPr>
      <w:r>
        <w:rPr>
          <w:rFonts w:ascii="仿宋" w:hAnsi="仿宋" w:eastAsia="仿宋" w:cs="仿宋"/>
          <w:b/>
          <w:color w:val="333333"/>
          <w:sz w:val="36"/>
          <w:szCs w:val="36"/>
        </w:rPr>
        <w:t>学生公寓</w:t>
      </w:r>
      <w:r>
        <w:rPr>
          <w:rFonts w:hint="eastAsia" w:ascii="仿宋" w:hAnsi="仿宋" w:eastAsia="仿宋" w:cs="仿宋"/>
          <w:b/>
          <w:color w:val="333333"/>
          <w:sz w:val="36"/>
          <w:szCs w:val="36"/>
          <w:lang w:val="en-US" w:eastAsia="zh-CN"/>
        </w:rPr>
        <w:t>电开水器</w:t>
      </w:r>
      <w:r>
        <w:rPr>
          <w:rFonts w:ascii="仿宋" w:hAnsi="仿宋" w:eastAsia="仿宋" w:cs="仿宋"/>
          <w:b/>
          <w:color w:val="333333"/>
          <w:sz w:val="36"/>
          <w:szCs w:val="36"/>
        </w:rPr>
        <w:t>拍卖须知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7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本次拍卖转让标的为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186台电开水器</w:t>
      </w:r>
      <w:r>
        <w:rPr>
          <w:rFonts w:ascii="仿宋" w:hAnsi="仿宋" w:eastAsia="仿宋" w:cs="仿宋"/>
          <w:color w:val="333333"/>
          <w:sz w:val="30"/>
          <w:szCs w:val="30"/>
        </w:rPr>
        <w:t>，拍卖底价为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3124</w:t>
      </w:r>
      <w:r>
        <w:rPr>
          <w:rFonts w:ascii="仿宋" w:hAnsi="仿宋" w:eastAsia="仿宋" w:cs="仿宋"/>
          <w:color w:val="333333"/>
          <w:sz w:val="30"/>
          <w:szCs w:val="30"/>
        </w:rPr>
        <w:t>元。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7"/>
        <w:rPr>
          <w:rFonts w:hint="default" w:ascii="仿宋" w:hAnsi="仿宋" w:eastAsia="仿宋" w:cs="仿宋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 xml:space="preserve">新旧、规格、质量、数量、状况、性能、面积等均以现状转让，如标的新旧、规格、质量、数量、状况、性能等存有差异，差异部分损失由受让方自行承担，不得因此影响成交行为，亦不得因此调整成交价格。参与拍卖，则视为对拍卖标的现状及相关一切交易风险已充分知悉，并接受所有挂拍条件。成交后，受让方不得以任何理由反悔违约，否则所交纳的保证金将不予退还，同时转让方有权终结交易，并可重新挂拍处置标的。 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7"/>
        <w:rPr>
          <w:rFonts w:hint="default" w:ascii="仿宋" w:hAnsi="仿宋" w:eastAsia="仿宋" w:cs="仿宋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 xml:space="preserve">受让方须整体受让本次转让标的。      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7"/>
        <w:rPr>
          <w:rFonts w:hint="default" w:ascii="仿宋" w:hAnsi="仿宋" w:eastAsia="仿宋" w:cs="仿宋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参与竞拍的，则视为接受此次的竞拍组织方式，原则上价高者得。中标人现场缴纳履约保证金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color w:val="333333"/>
          <w:sz w:val="30"/>
          <w:szCs w:val="30"/>
        </w:rPr>
        <w:t>000元，现场未缴纳履约保证金的，视同放弃中标资格，转让方有权按报价顺位决定中标人或重新组织竞标。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6"/>
        <w:rPr>
          <w:rFonts w:cs="宋体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中标人在中标两天内签订交易合同。受让方应于交易合同生效之日起2个工作日内一次性将成交价款付至转让方指定账户。转让方收到货款后交付标的。（提货款到账即视为标的交付）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6"/>
        <w:rPr>
          <w:rFonts w:cs="宋体"/>
          <w:color w:val="333333"/>
          <w:sz w:val="30"/>
          <w:szCs w:val="30"/>
        </w:rPr>
      </w:pPr>
      <w:r>
        <w:rPr>
          <w:rFonts w:ascii="仿宋" w:hAnsi="仿宋" w:eastAsia="仿宋" w:cs="仿宋"/>
          <w:b/>
          <w:color w:val="333333"/>
          <w:sz w:val="30"/>
          <w:szCs w:val="30"/>
        </w:rPr>
        <w:t>提货时间为5个工作日</w:t>
      </w:r>
      <w:r>
        <w:rPr>
          <w:rFonts w:ascii="仿宋" w:hAnsi="仿宋" w:eastAsia="仿宋" w:cs="仿宋"/>
          <w:color w:val="333333"/>
          <w:sz w:val="30"/>
          <w:szCs w:val="30"/>
        </w:rPr>
        <w:t>，超期视为放弃标的所有权。无违约行为，标的清运完后5个工作日内，转让方无息退还履约保证金2000元给受让方。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6"/>
        <w:rPr>
          <w:rFonts w:cs="宋体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受让方在标的交付后，受让方负责标的的拆除、装卸、搬运、运输等工作，一切相关费用均由受让方承担。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6"/>
        <w:rPr>
          <w:rFonts w:cs="宋体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所有过程必须严格按照相关规范要求进行，自觉接受转让方的监督和管理，</w:t>
      </w:r>
      <w:r>
        <w:rPr>
          <w:rFonts w:ascii="仿宋" w:hAnsi="仿宋" w:eastAsia="仿宋" w:cs="仿宋"/>
          <w:b/>
          <w:color w:val="333333"/>
          <w:sz w:val="30"/>
          <w:szCs w:val="30"/>
        </w:rPr>
        <w:t>不得高空拋物，不得损坏转让方标的外的设备、设施和装修、装饰。受让自行承担全部安全责任事故，自行负责全部所需费用。</w:t>
      </w:r>
      <w:r>
        <w:rPr>
          <w:rFonts w:ascii="仿宋" w:hAnsi="仿宋" w:eastAsia="仿宋" w:cs="仿宋"/>
          <w:color w:val="333333"/>
          <w:sz w:val="30"/>
          <w:szCs w:val="30"/>
        </w:rPr>
        <w:t>受让方违规清运过程中给转让方造成损失的，若保证金不足以赔偿，转让方有权中止交易，在受让方赔偿损失后继续履行交易合同。</w:t>
      </w:r>
    </w:p>
    <w:p>
      <w:pPr>
        <w:pStyle w:val="2"/>
        <w:widowControl/>
        <w:numPr>
          <w:ilvl w:val="0"/>
          <w:numId w:val="1"/>
        </w:numPr>
        <w:tabs>
          <w:tab w:val="left" w:pos="993"/>
          <w:tab w:val="clear" w:pos="916"/>
        </w:tabs>
        <w:spacing w:line="560" w:lineRule="exact"/>
        <w:ind w:left="0" w:firstLine="566"/>
        <w:rPr>
          <w:rFonts w:hint="default" w:cs="宋体"/>
          <w:color w:val="333333"/>
          <w:sz w:val="30"/>
          <w:szCs w:val="30"/>
        </w:rPr>
      </w:pPr>
      <w:r>
        <w:rPr>
          <w:rFonts w:ascii="仿宋" w:hAnsi="仿宋" w:eastAsia="仿宋" w:cs="仿宋"/>
          <w:color w:val="333333"/>
          <w:sz w:val="30"/>
          <w:szCs w:val="30"/>
        </w:rPr>
        <w:t>受让后应按国家相关规定使用，若违规处置，由此引起的一切风险由受让方自行承担。转让标的移交完成后，受让方在后期使用过程中所发生的任何质量、安全、环境影响等问题均由受让方自行承担，与转让方无关。</w:t>
      </w:r>
      <w:r>
        <w:rPr>
          <w:rFonts w:cs="宋体"/>
          <w:color w:val="333333"/>
          <w:sz w:val="30"/>
          <w:szCs w:val="30"/>
        </w:rPr>
        <w:t xml:space="preserve"> </w:t>
      </w:r>
    </w:p>
    <w:p>
      <w:pPr>
        <w:pStyle w:val="5"/>
        <w:ind w:left="885" w:firstLine="0" w:firstLineChars="0"/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260DE"/>
    <w:multiLevelType w:val="multilevel"/>
    <w:tmpl w:val="0A3260DE"/>
    <w:lvl w:ilvl="0" w:tentative="0">
      <w:start w:val="1"/>
      <w:numFmt w:val="decimal"/>
      <w:lvlText w:val="%1."/>
      <w:lvlJc w:val="left"/>
      <w:pPr>
        <w:ind w:left="986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A3Y2Q2ZmIxMTg4ZWMxNTYyNmYxMjUxMWRlZGQifQ=="/>
  </w:docVars>
  <w:rsids>
    <w:rsidRoot w:val="0F6535B9"/>
    <w:rsid w:val="0F6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2024-01-02T06:50:00Z</dcterms:created>
  <dc:creator>Administrator</dc:creator>
  <cp:lastModifiedBy>Administrator</cp:lastModifiedBy>
  <dcterms:modified xsi:type="dcterms:W3CDTF">2024-01-02T06:51:01Z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B97285AFC9BB489F8F3499AF172900FC_11</vt:lpwstr>
  </property>
</Properties>
</file>